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832" w:rsidRPr="00592785" w:rsidRDefault="00170832" w:rsidP="00592785">
      <w:pPr>
        <w:spacing w:after="0" w:line="240" w:lineRule="auto"/>
        <w:jc w:val="center"/>
        <w:rPr>
          <w:rFonts w:eastAsia="Times New Roman" w:cs="Times New Roman"/>
          <w:b/>
          <w:color w:val="000000"/>
          <w:sz w:val="24"/>
          <w:lang w:val="en-US"/>
        </w:rPr>
      </w:pPr>
      <w:r w:rsidRPr="00170832">
        <w:rPr>
          <w:rFonts w:eastAsia="Times New Roman" w:cs="Times New Roman"/>
          <w:b/>
          <w:color w:val="000000"/>
          <w:sz w:val="24"/>
          <w:lang w:val="en-US"/>
        </w:rPr>
        <w:t>TOXOPLASMOZA CONGENITAL ÎN SARCINA GEMELAR DIZIGOTIC: PREZENTARE DE CAZ I TRECERE ÎN REVIST A LITERATURII</w:t>
      </w:r>
    </w:p>
    <w:p w:rsidR="00C54D78" w:rsidRDefault="00170832">
      <w:r>
        <w:t>Anca Huniadi, Liana Antal, Mircea Sandor</w:t>
      </w:r>
    </w:p>
    <w:p w:rsidR="00170832" w:rsidRPr="00170832" w:rsidRDefault="00170832" w:rsidP="00170832">
      <w:pPr>
        <w:spacing w:after="0" w:line="240" w:lineRule="auto"/>
        <w:rPr>
          <w:rFonts w:eastAsia="Times New Roman" w:cs="Times New Roman"/>
          <w:color w:val="000000"/>
          <w:lang w:val="en-US"/>
        </w:rPr>
      </w:pPr>
      <w:r w:rsidRPr="00170832">
        <w:rPr>
          <w:rFonts w:eastAsia="Times New Roman" w:cs="Times New Roman"/>
          <w:color w:val="000000"/>
          <w:lang w:val="en-US"/>
        </w:rPr>
        <w:t>Spital Pelican, Universitatea Oradea-FMF</w:t>
      </w:r>
    </w:p>
    <w:p w:rsidR="00170832" w:rsidRPr="00170832" w:rsidRDefault="00170832">
      <w:pPr>
        <w:rPr>
          <w:lang w:val="en-US"/>
        </w:rPr>
      </w:pPr>
    </w:p>
    <w:p w:rsidR="00170832" w:rsidRDefault="00170832" w:rsidP="00170832">
      <w:r>
        <w:t>Introducere. În sarcina gemelară, toxoplasmoza congenitală determină o infecţie a ambilor feţi în sarcina monozigotică şi de regulă afectează discordant feţii în sarcina gemelară dizigotică. Tabloul clinic sever cu retard neuropsihomotor, microcefalie, afectare oculară şi calcificări cerebrale se întâmplă totuşi rar, în sub 10% din cazuri.</w:t>
      </w:r>
    </w:p>
    <w:p w:rsidR="00170832" w:rsidRDefault="00170832" w:rsidP="00170832">
      <w:r>
        <w:t>Prezentare de caz. Vă prezentăm cazul unei paciente de 32 ani, primigestă, cu o sarcină obţinută după a treia procedură de fertilizare in vitro, care este luată în evidenţă la 6 săptămâni de amenoree, când se stabileşte diagnosticul: IG Sarcină gemelară 6 SA, bicorială, biamniotică, în evoluţie.</w:t>
      </w:r>
    </w:p>
    <w:p w:rsidR="00170832" w:rsidRDefault="00170832" w:rsidP="00170832">
      <w:r>
        <w:t>Analizele preconcepţionale înaintea procedurii de fertilizare arătau un profil serologic non-reactiv IgG şi IgM negativ pentru toxoplasmoză. Screening-ul genetic de prim trimestru efecuat la 12 SA relevă aspecte biochimice şi ecografice normale. La 16 SA pacienta se prezintă pentru o adenopatie laterocervicală dreaptă dureroasă, pentru care se repetă titrarea anticorpilor, care arată o valoare IgM pozitivă . Se instituie tratament cu Spiramicina 9 mil U.I pe zi. Ecografia de la 19 SA arată o afectare a fătului II cu apariţia de ventriculomegalie moderată (18 mm) şi ascită fetală. Examinarea RMN fetală şi amniocenteza (19+5) confirmă afectarea fătului II, fără modificări sugestive la fătul I. Evoluţia ulterioară la fătul II arată asocierea unui polihidramnios care se accentuează progresiv însoţit de retard de creştere. La 32 de SA se efectuează amniocenteză evacuatorie (3.8 litri) şi feticid selectiv în alt serviciu (AKH-Wien). La 34+5 SA naşte în serviciul nostru, prin operaţie cezariană un făt viu sex Feminin, G 2600g, Indice Apgar 7/9 şi unul mort, sex Feminin, G 1300g. Evolutia ulterioară a mamei şi nou născutului au fost favorabile.</w:t>
      </w:r>
    </w:p>
    <w:p w:rsidR="00170832" w:rsidRDefault="00170832" w:rsidP="00170832">
      <w:r>
        <w:t>Concluzii. Toxoplasmoza congenitală rămâne o cauză importantă de infecţie congenitală ceea ce justifică screeningul pe scară largă. Variabilitatea afectării fetale în sarcinile dizigotice sugerează rolul important al placentei în transmiterea infecţiei.</w:t>
      </w:r>
    </w:p>
    <w:sectPr w:rsidR="00170832"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170832"/>
    <w:rsid w:val="00170832"/>
    <w:rsid w:val="00172815"/>
    <w:rsid w:val="00206D8F"/>
    <w:rsid w:val="002358FA"/>
    <w:rsid w:val="00291FEF"/>
    <w:rsid w:val="0036114D"/>
    <w:rsid w:val="00421ECB"/>
    <w:rsid w:val="00592785"/>
    <w:rsid w:val="0070372B"/>
    <w:rsid w:val="008E0D2C"/>
    <w:rsid w:val="00A400C1"/>
    <w:rsid w:val="00AD23FC"/>
    <w:rsid w:val="00D51A90"/>
    <w:rsid w:val="00DB6552"/>
    <w:rsid w:val="00DF7BC5"/>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15041710">
      <w:bodyDiv w:val="1"/>
      <w:marLeft w:val="0"/>
      <w:marRight w:val="0"/>
      <w:marTop w:val="0"/>
      <w:marBottom w:val="0"/>
      <w:divBdr>
        <w:top w:val="none" w:sz="0" w:space="0" w:color="auto"/>
        <w:left w:val="none" w:sz="0" w:space="0" w:color="auto"/>
        <w:bottom w:val="none" w:sz="0" w:space="0" w:color="auto"/>
        <w:right w:val="none" w:sz="0" w:space="0" w:color="auto"/>
      </w:divBdr>
    </w:div>
    <w:div w:id="1945961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333</Words>
  <Characters>1904</Characters>
  <Application>Microsoft Office Word</Application>
  <DocSecurity>0</DocSecurity>
  <Lines>15</Lines>
  <Paragraphs>4</Paragraphs>
  <ScaleCrop>false</ScaleCrop>
  <Company/>
  <LinksUpToDate>false</LinksUpToDate>
  <CharactersWithSpaces>2233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4</cp:revision>
  <dcterms:created xsi:type="dcterms:W3CDTF">2016-10-12T12:31:00Z</dcterms:created>
  <dcterms:modified xsi:type="dcterms:W3CDTF">2016-10-12T12:32:00Z</dcterms:modified>
</cp:coreProperties>
</file>